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0F73E0" w:rsidRPr="00FC0F69" w:rsidRDefault="000F73E0" w:rsidP="000F73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LP-SC-006-2018</w:t>
      </w:r>
    </w:p>
    <w:p w:rsidR="000F73E0" w:rsidRPr="00FC0F69" w:rsidRDefault="000F73E0" w:rsidP="000F73E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“Adquisición de tóners”</w:t>
      </w: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1418"/>
        <w:gridCol w:w="1701"/>
        <w:gridCol w:w="1701"/>
        <w:gridCol w:w="850"/>
      </w:tblGrid>
      <w:tr w:rsidR="00B13B07" w:rsidRPr="004F19C5" w:rsidTr="00953E1F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UNIDADES SOLICITADAS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UNIDADES QUE COTIZA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PRECIO UNITARIO ANTES DE IMPUESTOS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IMPUESTOS DESGLOSADOS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GRAN TOTAL</w:t>
            </w:r>
          </w:p>
        </w:tc>
      </w:tr>
      <w:tr w:rsidR="00B13B07" w:rsidRPr="004F19C5" w:rsidTr="00B13B07">
        <w:tc>
          <w:tcPr>
            <w:tcW w:w="1129" w:type="dxa"/>
            <w:vMerge w:val="restart"/>
            <w:vAlign w:val="center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TONER 90A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TONER 90X</w:t>
            </w:r>
          </w:p>
        </w:tc>
        <w:tc>
          <w:tcPr>
            <w:tcW w:w="1275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TONER 90CX</w:t>
            </w:r>
          </w:p>
        </w:tc>
        <w:tc>
          <w:tcPr>
            <w:tcW w:w="1275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TONER HP 83A LASE JET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TONER 81A-CF281A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TONER 81X-CF281X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TONER HP 05A NEGRO CE505A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TONER HP 64A-NEGRO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TONER 42A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TONER 42X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Q5942X (NORMAL)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Q5942X (ALTO RENDIMIENTO)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HP 56 C6656AL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HP 57 (color)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64A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HP Q2612A (12A)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HP 49X (Q5949X)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 xml:space="preserve">HP 53A LaserJet (Q7553A) 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 xml:space="preserve">HP 124A LaserJet (Q6000A) 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 xml:space="preserve">HP 124A LaserJet (Q6001A) 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 xml:space="preserve">HP 124A LaserJet (Q6002A) 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 xml:space="preserve">HP 124A LaserJet (Q6003A) 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Hp Cartucho 950 XL NEGRO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Hp Cartucho 951 XL MAGENTA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Hp Cartucho 951 XL  CIAN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Hp Cartucho 951 XL AMARILLO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CF500A (NEGRO)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CF503A (MAGENTA)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CF502A (AMARILLO)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CF501A (CIAN)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FARGO 44239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SHARP MX315NT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15A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3B07" w:rsidRPr="004F19C5" w:rsidTr="00B13B07">
        <w:tc>
          <w:tcPr>
            <w:tcW w:w="1129" w:type="dxa"/>
            <w:vMerge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13B07">
              <w:rPr>
                <w:rFonts w:ascii="Arial" w:hAnsi="Arial" w:cs="Arial"/>
                <w:color w:val="000000"/>
                <w:sz w:val="16"/>
                <w:szCs w:val="16"/>
              </w:rPr>
              <w:t>CINTA EPSON NEGRO O ROJO ERC38BR</w:t>
            </w:r>
          </w:p>
        </w:tc>
        <w:tc>
          <w:tcPr>
            <w:tcW w:w="1275" w:type="dxa"/>
          </w:tcPr>
          <w:p w:rsidR="00B13B07" w:rsidRPr="00B13B07" w:rsidRDefault="00B13B07" w:rsidP="00B13B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B0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B13B07" w:rsidRPr="004F19C5" w:rsidRDefault="00B13B07" w:rsidP="00B13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2B85" w:rsidRPr="008D0649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lastRenderedPageBreak/>
        <w:t>Cantidad con letra: ___________________________________________.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__________(mínimo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Guadalajara, Jalisco ____ de ________ de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5014AF" w:rsidRDefault="00476D2D" w:rsidP="008D064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014AF">
        <w:rPr>
          <w:rFonts w:ascii="Arial" w:hAnsi="Arial" w:cs="Arial"/>
          <w:sz w:val="20"/>
          <w:szCs w:val="20"/>
        </w:rPr>
        <w:t xml:space="preserve">Nota: Este documento deberá ser elaborado, </w:t>
      </w:r>
      <w:r w:rsidR="000F73E0">
        <w:rPr>
          <w:rFonts w:ascii="Arial" w:hAnsi="Arial" w:cs="Arial"/>
          <w:sz w:val="20"/>
          <w:szCs w:val="20"/>
        </w:rPr>
        <w:t>de preferencia</w:t>
      </w:r>
      <w:r w:rsidRPr="005014AF">
        <w:rPr>
          <w:rFonts w:ascii="Arial" w:hAnsi="Arial" w:cs="Arial"/>
          <w:sz w:val="20"/>
          <w:szCs w:val="20"/>
        </w:rPr>
        <w:t>, en papel membretado de la empresa, respetando totalmente su redacción.</w:t>
      </w:r>
      <w:r w:rsidR="005014AF" w:rsidRPr="005014AF">
        <w:rPr>
          <w:rFonts w:ascii="Arial" w:hAnsi="Arial" w:cs="Arial"/>
          <w:sz w:val="20"/>
          <w:szCs w:val="20"/>
        </w:rPr>
        <w:t xml:space="preserve"> Solo se recibirán propuestas económi</w:t>
      </w:r>
      <w:r w:rsidR="005746AE">
        <w:rPr>
          <w:rFonts w:ascii="Arial" w:hAnsi="Arial" w:cs="Arial"/>
          <w:sz w:val="20"/>
          <w:szCs w:val="20"/>
        </w:rPr>
        <w:t>cas presentadas en este formato, por lo que la convocante no está obligada a aceptar propuestas que se presenten en formato distinto.</w:t>
      </w:r>
      <w:bookmarkStart w:id="0" w:name="_GoBack"/>
      <w:bookmarkEnd w:id="0"/>
    </w:p>
    <w:sectPr w:rsidR="00476D2D" w:rsidRPr="005014AF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0F73E0"/>
    <w:rsid w:val="00136791"/>
    <w:rsid w:val="002415BB"/>
    <w:rsid w:val="00246B89"/>
    <w:rsid w:val="00337D50"/>
    <w:rsid w:val="004141AD"/>
    <w:rsid w:val="00476D2D"/>
    <w:rsid w:val="004D714B"/>
    <w:rsid w:val="004F19C5"/>
    <w:rsid w:val="00500D52"/>
    <w:rsid w:val="005014AF"/>
    <w:rsid w:val="0055183C"/>
    <w:rsid w:val="00561607"/>
    <w:rsid w:val="005746AE"/>
    <w:rsid w:val="0059090A"/>
    <w:rsid w:val="005B031D"/>
    <w:rsid w:val="00621798"/>
    <w:rsid w:val="006A397A"/>
    <w:rsid w:val="006C28E8"/>
    <w:rsid w:val="007C143A"/>
    <w:rsid w:val="008B65AC"/>
    <w:rsid w:val="008D0649"/>
    <w:rsid w:val="009300A9"/>
    <w:rsid w:val="009D3F71"/>
    <w:rsid w:val="00A02032"/>
    <w:rsid w:val="00A4257E"/>
    <w:rsid w:val="00AA6DEE"/>
    <w:rsid w:val="00AC167F"/>
    <w:rsid w:val="00AD1883"/>
    <w:rsid w:val="00B13B07"/>
    <w:rsid w:val="00BC0767"/>
    <w:rsid w:val="00C55E2F"/>
    <w:rsid w:val="00C85351"/>
    <w:rsid w:val="00D315A4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B8FA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E20A6-3AA6-4B57-ABF8-13896266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38</cp:revision>
  <dcterms:created xsi:type="dcterms:W3CDTF">2018-03-20T18:15:00Z</dcterms:created>
  <dcterms:modified xsi:type="dcterms:W3CDTF">2018-06-28T14:46:00Z</dcterms:modified>
</cp:coreProperties>
</file>